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ResumeName"/>
        <w:spacing w:after="0"/>
        <w:jc w:val="center"/>
      </w:pPr>
      <w:r>
        <w:t>JESSE BULAGA</w:t>
      </w:r>
    </w:p>
    <w:p>
      <w:pPr>
        <w:pStyle w:val="ResumeTitle"/>
        <w:spacing w:after="20"/>
        <w:jc w:val="center"/>
      </w:pPr>
      <w:r>
        <w:t>GOLF COURSE SUPERINTENDENT | TURFGRASS &amp; CLUB OPERATIONS</w:t>
      </w:r>
    </w:p>
    <w:p>
      <w:pPr>
        <w:spacing w:after="80"/>
        <w:jc w:val="center"/>
      </w:pPr>
      <w:r>
        <w:rPr>
          <w:sz w:val="18"/>
        </w:rPr>
        <w:t>Wurtsboro, NY 12790  •  (845) 807-6698  •  jbulaga@gmail.com</w:t>
      </w:r>
    </w:p>
    <w:p>
      <w:pPr>
        <w:pStyle w:val="SectionHead"/>
        <w:keepNext/>
        <w:pBdr>
          <w:bottom w:val="single" w:sz="6" w:space="1" w:color="555555"/>
        </w:pBdr>
      </w:pPr>
      <w:r>
        <w:rPr>
          <w:color w:val="2D2D2D"/>
        </w:rPr>
        <w:t>PROFESSIONAL PROFILE</w:t>
      </w:r>
    </w:p>
    <w:p>
      <w:pPr>
        <w:spacing w:after="60"/>
      </w:pPr>
      <w:r>
        <w:t>Golf course management professional with 15+ years of progressive leadership experience across private and public clubs. Experienced in agronomic operations, staff leadership, budgeting, environmental compliance, irrigation and drainage, and major capital construction. Proven record managing operating budgets up to $2.5 million and leading a complete 27-hole HDPE irrigation installation, with a consistent focus on playing conditions, detail, communication and continuous improvement.</w:t>
      </w:r>
    </w:p>
    <w:p>
      <w:pPr>
        <w:pStyle w:val="SectionHead"/>
        <w:keepNext/>
        <w:pBdr>
          <w:bottom w:val="single" w:sz="6" w:space="1" w:color="555555"/>
        </w:pBdr>
      </w:pPr>
      <w:r>
        <w:rPr>
          <w:color w:val="2D2D2D"/>
        </w:rPr>
        <w:t>CORE COMPETENCIES</w:t>
      </w:r>
    </w:p>
    <w:tbl>
      <w:tblPr>
        <w:tblW w:type="auto" w:w="0"/>
        <w:jc w:val="center"/>
        <w:tblLayout w:type="fixed"/>
        <w:tblLook w:firstColumn="1" w:firstRow="1" w:lastColumn="0" w:lastRow="0" w:noHBand="0" w:noVBand="1" w:val="04A0"/>
      </w:tblPr>
      <w:tblGrid>
        <w:gridCol w:w="2613"/>
        <w:gridCol w:w="2613"/>
        <w:gridCol w:w="2613"/>
        <w:gridCol w:w="2613"/>
      </w:tblGrid>
      <w:tr>
        <w:tc>
          <w:tcPr>
            <w:tcW w:type="dxa" w:w="2613"/>
            <w:tcMar>
              <w:top w:w="35" w:type="dxa"/>
              <w:start w:w="55" w:type="dxa"/>
              <w:bottom w:w="35" w:type="dxa"/>
              <w:end w:w="55" w:type="dxa"/>
            </w:tcMar>
            <w:shd w:fill="F2F2F2"/>
          </w:tcPr>
          <w:p>
            <w:pPr>
              <w:spacing w:after="0"/>
              <w:jc w:val="center"/>
            </w:pPr>
            <w:r>
              <w:rPr>
                <w:b/>
                <w:sz w:val="17"/>
              </w:rPr>
              <w:t>Golf Course Operations</w:t>
            </w:r>
          </w:p>
        </w:tc>
        <w:tc>
          <w:tcPr>
            <w:tcW w:type="dxa" w:w="2613"/>
            <w:tcMar>
              <w:top w:w="35" w:type="dxa"/>
              <w:start w:w="55" w:type="dxa"/>
              <w:bottom w:w="35" w:type="dxa"/>
              <w:end w:w="55" w:type="dxa"/>
            </w:tcMar>
            <w:shd w:fill="F2F2F2"/>
          </w:tcPr>
          <w:p>
            <w:pPr>
              <w:spacing w:after="0"/>
              <w:jc w:val="center"/>
            </w:pPr>
            <w:r>
              <w:rPr>
                <w:b/>
                <w:sz w:val="17"/>
              </w:rPr>
              <w:t>Agronomic Management</w:t>
            </w:r>
          </w:p>
        </w:tc>
        <w:tc>
          <w:tcPr>
            <w:tcW w:type="dxa" w:w="2613"/>
            <w:tcMar>
              <w:top w:w="35" w:type="dxa"/>
              <w:start w:w="55" w:type="dxa"/>
              <w:bottom w:w="35" w:type="dxa"/>
              <w:end w:w="55" w:type="dxa"/>
            </w:tcMar>
            <w:shd w:fill="F2F2F2"/>
          </w:tcPr>
          <w:p>
            <w:pPr>
              <w:spacing w:after="0"/>
              <w:jc w:val="center"/>
            </w:pPr>
            <w:r>
              <w:rPr>
                <w:b/>
                <w:sz w:val="17"/>
              </w:rPr>
              <w:t>Staff Leadership</w:t>
            </w:r>
          </w:p>
        </w:tc>
        <w:tc>
          <w:tcPr>
            <w:tcW w:type="dxa" w:w="2613"/>
            <w:tcMar>
              <w:top w:w="35" w:type="dxa"/>
              <w:start w:w="55" w:type="dxa"/>
              <w:bottom w:w="35" w:type="dxa"/>
              <w:end w:w="55" w:type="dxa"/>
            </w:tcMar>
            <w:shd w:fill="F2F2F2"/>
          </w:tcPr>
          <w:p>
            <w:pPr>
              <w:spacing w:after="0"/>
              <w:jc w:val="center"/>
            </w:pPr>
            <w:r>
              <w:rPr>
                <w:b/>
                <w:sz w:val="17"/>
              </w:rPr>
              <w:t>Budget Management</w:t>
            </w:r>
          </w:p>
        </w:tc>
      </w:tr>
      <w:tr>
        <w:tc>
          <w:tcPr>
            <w:tcW w:type="dxa" w:w="2613"/>
            <w:tcMar>
              <w:top w:w="35" w:type="dxa"/>
              <w:start w:w="55" w:type="dxa"/>
              <w:bottom w:w="35" w:type="dxa"/>
              <w:end w:w="55" w:type="dxa"/>
            </w:tcMar>
            <w:shd w:fill="F2F2F2"/>
          </w:tcPr>
          <w:p>
            <w:pPr>
              <w:spacing w:after="0"/>
              <w:jc w:val="center"/>
            </w:pPr>
            <w:r>
              <w:rPr>
                <w:b/>
                <w:sz w:val="17"/>
              </w:rPr>
              <w:t>Capital Construction</w:t>
            </w:r>
          </w:p>
        </w:tc>
        <w:tc>
          <w:tcPr>
            <w:tcW w:type="dxa" w:w="2613"/>
            <w:tcMar>
              <w:top w:w="35" w:type="dxa"/>
              <w:start w:w="55" w:type="dxa"/>
              <w:bottom w:w="35" w:type="dxa"/>
              <w:end w:w="55" w:type="dxa"/>
            </w:tcMar>
            <w:shd w:fill="F2F2F2"/>
          </w:tcPr>
          <w:p>
            <w:pPr>
              <w:spacing w:after="0"/>
              <w:jc w:val="center"/>
            </w:pPr>
            <w:r>
              <w:rPr>
                <w:b/>
                <w:sz w:val="17"/>
              </w:rPr>
              <w:t>Irrigation Systems</w:t>
            </w:r>
          </w:p>
        </w:tc>
        <w:tc>
          <w:tcPr>
            <w:tcW w:type="dxa" w:w="2613"/>
            <w:tcMar>
              <w:top w:w="35" w:type="dxa"/>
              <w:start w:w="55" w:type="dxa"/>
              <w:bottom w:w="35" w:type="dxa"/>
              <w:end w:w="55" w:type="dxa"/>
            </w:tcMar>
            <w:shd w:fill="F2F2F2"/>
          </w:tcPr>
          <w:p>
            <w:pPr>
              <w:spacing w:after="0"/>
              <w:jc w:val="center"/>
            </w:pPr>
            <w:r>
              <w:rPr>
                <w:b/>
                <w:sz w:val="17"/>
              </w:rPr>
              <w:t>Drainage &amp; Water Management</w:t>
            </w:r>
          </w:p>
        </w:tc>
        <w:tc>
          <w:tcPr>
            <w:tcW w:type="dxa" w:w="2613"/>
            <w:tcMar>
              <w:top w:w="35" w:type="dxa"/>
              <w:start w:w="55" w:type="dxa"/>
              <w:bottom w:w="35" w:type="dxa"/>
              <w:end w:w="55" w:type="dxa"/>
            </w:tcMar>
            <w:shd w:fill="F2F2F2"/>
          </w:tcPr>
          <w:p>
            <w:pPr>
              <w:spacing w:after="0"/>
              <w:jc w:val="center"/>
            </w:pPr>
            <w:r>
              <w:rPr>
                <w:b/>
                <w:sz w:val="17"/>
              </w:rPr>
              <w:t>Environmental Compliance</w:t>
            </w:r>
          </w:p>
        </w:tc>
      </w:tr>
      <w:tr>
        <w:tc>
          <w:tcPr>
            <w:tcW w:type="dxa" w:w="2613"/>
            <w:tcMar>
              <w:top w:w="35" w:type="dxa"/>
              <w:start w:w="55" w:type="dxa"/>
              <w:bottom w:w="35" w:type="dxa"/>
              <w:end w:w="55" w:type="dxa"/>
            </w:tcMar>
            <w:shd w:fill="F2F2F2"/>
          </w:tcPr>
          <w:p>
            <w:pPr>
              <w:spacing w:after="0"/>
              <w:jc w:val="center"/>
            </w:pPr>
            <w:r>
              <w:rPr>
                <w:b/>
                <w:sz w:val="17"/>
              </w:rPr>
              <w:t>Scheduling &amp; Planning</w:t>
            </w:r>
          </w:p>
        </w:tc>
        <w:tc>
          <w:tcPr>
            <w:tcW w:type="dxa" w:w="2613"/>
            <w:tcMar>
              <w:top w:w="35" w:type="dxa"/>
              <w:start w:w="55" w:type="dxa"/>
              <w:bottom w:w="35" w:type="dxa"/>
              <w:end w:w="55" w:type="dxa"/>
            </w:tcMar>
            <w:shd w:fill="F2F2F2"/>
          </w:tcPr>
          <w:p>
            <w:pPr>
              <w:spacing w:after="0"/>
              <w:jc w:val="center"/>
            </w:pPr>
            <w:r>
              <w:rPr>
                <w:b/>
                <w:sz w:val="17"/>
              </w:rPr>
              <w:t>Member / Board Relations</w:t>
            </w:r>
          </w:p>
        </w:tc>
        <w:tc>
          <w:tcPr>
            <w:tcW w:type="dxa" w:w="2613"/>
            <w:tcMar>
              <w:top w:w="35" w:type="dxa"/>
              <w:start w:w="55" w:type="dxa"/>
              <w:bottom w:w="35" w:type="dxa"/>
              <w:end w:w="55" w:type="dxa"/>
            </w:tcMar>
            <w:shd w:fill="F2F2F2"/>
          </w:tcPr>
          <w:p>
            <w:pPr>
              <w:spacing w:after="0"/>
              <w:jc w:val="center"/>
            </w:pPr>
            <w:r>
              <w:rPr>
                <w:b/>
                <w:sz w:val="17"/>
              </w:rPr>
              <w:t>Cultural Practices</w:t>
            </w:r>
          </w:p>
        </w:tc>
        <w:tc>
          <w:tcPr>
            <w:tcW w:type="dxa" w:w="2613"/>
            <w:tcMar>
              <w:top w:w="35" w:type="dxa"/>
              <w:start w:w="55" w:type="dxa"/>
              <w:bottom w:w="35" w:type="dxa"/>
              <w:end w:w="55" w:type="dxa"/>
            </w:tcMar>
            <w:shd w:fill="F2F2F2"/>
          </w:tcPr>
          <w:p>
            <w:pPr>
              <w:spacing w:after="0"/>
              <w:jc w:val="center"/>
            </w:pPr>
            <w:r>
              <w:rPr>
                <w:b/>
                <w:sz w:val="17"/>
              </w:rPr>
              <w:t>Project Management</w:t>
            </w:r>
          </w:p>
        </w:tc>
      </w:tr>
    </w:tbl>
    <w:p>
      <w:pPr>
        <w:pStyle w:val="SectionHead"/>
        <w:keepNext/>
        <w:pBdr>
          <w:bottom w:val="single" w:sz="6" w:space="1" w:color="555555"/>
        </w:pBdr>
      </w:pPr>
      <w:r>
        <w:rPr>
          <w:color w:val="2D2D2D"/>
        </w:rPr>
        <w:t>PROFESSIONAL EXPERIENCE</w:t>
      </w:r>
    </w:p>
    <w:tbl>
      <w:tblPr>
        <w:tblW w:type="auto" w:w="0"/>
        <w:jc w:val="center"/>
        <w:tblLayout w:type="fixed"/>
        <w:tblLook w:firstColumn="1" w:firstRow="1" w:lastColumn="0" w:lastRow="0" w:noHBand="0" w:noVBand="1" w:val="04A0"/>
      </w:tblPr>
      <w:tblGrid>
        <w:gridCol w:w="7848"/>
        <w:gridCol w:w="2232"/>
      </w:tblGrid>
      <w:tr>
        <w:tc>
          <w:tcPr>
            <w:tcW w:type="dxa" w:w="7848"/>
            <w:tcMar>
              <w:top w:w="0" w:type="dxa"/>
              <w:start w:w="0" w:type="dxa"/>
              <w:bottom w:w="0" w:type="dxa"/>
              <w:end w:w="0" w:type="dxa"/>
            </w:tcMar>
            <w:vAlign w:val="center"/>
          </w:tcPr>
          <w:p>
            <w:pPr>
              <w:spacing w:after="0"/>
            </w:pPr>
            <w:r>
              <w:rPr>
                <w:b/>
                <w:sz w:val="20"/>
              </w:rPr>
              <w:t>Scarsdale Golf Club</w:t>
            </w:r>
            <w:r>
              <w:rPr>
                <w:sz w:val="18"/>
              </w:rPr>
              <w:t xml:space="preserve">  |  Hartsdale, NY</w:t>
            </w:r>
          </w:p>
        </w:tc>
        <w:tc>
          <w:tcPr>
            <w:tcW w:type="dxa" w:w="2232"/>
            <w:tcMar>
              <w:top w:w="0" w:type="dxa"/>
              <w:start w:w="0" w:type="dxa"/>
              <w:bottom w:w="0" w:type="dxa"/>
              <w:end w:w="0" w:type="dxa"/>
            </w:tcMar>
            <w:vAlign w:val="center"/>
          </w:tcPr>
          <w:p>
            <w:pPr>
              <w:spacing w:after="0"/>
              <w:jc w:val="right"/>
            </w:pPr>
            <w:r>
              <w:rPr>
                <w:b/>
                <w:sz w:val="18"/>
              </w:rPr>
              <w:t>Jan 2020–Present</w:t>
            </w:r>
          </w:p>
        </w:tc>
      </w:tr>
    </w:tbl>
    <w:p>
      <w:pPr>
        <w:spacing w:after="20"/>
      </w:pPr>
      <w:r>
        <w:rPr>
          <w:b/>
          <w:sz w:val="19"/>
        </w:rPr>
        <w:t>Senior Assistant Superintendent</w:t>
      </w:r>
      <w:r>
        <w:rPr>
          <w:i/>
          <w:sz w:val="18"/>
        </w:rPr>
        <w:t xml:space="preserve">  |  18-hole private country club | $2.5M operating budget</w:t>
      </w:r>
    </w:p>
    <w:p>
      <w:pPr>
        <w:spacing w:after="26"/>
        <w:ind w:left="216" w:hanging="158"/>
      </w:pPr>
      <w:r>
        <w:rPr>
          <w:b/>
        </w:rPr>
        <w:t xml:space="preserve">• </w:t>
      </w:r>
      <w:r>
        <w:t>Lead day-to-day golf course and clubhouse grounds operations, supporting course development and high-quality member playing conditions.</w:t>
      </w:r>
    </w:p>
    <w:p>
      <w:pPr>
        <w:spacing w:after="26"/>
        <w:ind w:left="216" w:hanging="158"/>
      </w:pPr>
      <w:r>
        <w:rPr>
          <w:b/>
        </w:rPr>
        <w:t xml:space="preserve">• </w:t>
      </w:r>
      <w:r>
        <w:t>Develop short- and long-term work schedules and coordinate operational priorities across the property.</w:t>
      </w:r>
    </w:p>
    <w:p>
      <w:pPr>
        <w:spacing w:after="26"/>
        <w:ind w:left="216" w:hanging="158"/>
      </w:pPr>
      <w:r>
        <w:rPr>
          <w:b/>
        </w:rPr>
        <w:t xml:space="preserve">• </w:t>
      </w:r>
      <w:r>
        <w:t>Support month-to-month budget management within a $2.5 million operating budget.</w:t>
      </w:r>
    </w:p>
    <w:p>
      <w:pPr>
        <w:spacing w:after="26"/>
        <w:ind w:left="216" w:hanging="158"/>
      </w:pPr>
      <w:r>
        <w:rPr>
          <w:b/>
        </w:rPr>
        <w:t xml:space="preserve">• </w:t>
      </w:r>
      <w:r>
        <w:t>Manage New York State environmental compliance responsibilities for golf course operations.</w:t>
      </w:r>
    </w:p>
    <w:p>
      <w:pPr>
        <w:spacing w:after="26"/>
        <w:ind w:left="216" w:hanging="158"/>
      </w:pPr>
      <w:r>
        <w:rPr>
          <w:b/>
        </w:rPr>
        <w:t xml:space="preserve">• </w:t>
      </w:r>
      <w:r>
        <w:t>Oversee a capital construction project valued at more than $3 million, coordinating project needs with ongoing club operations.</w:t>
      </w:r>
    </w:p>
    <w:tbl>
      <w:tblPr>
        <w:tblW w:type="auto" w:w="0"/>
        <w:jc w:val="center"/>
        <w:tblLayout w:type="fixed"/>
        <w:tblLook w:firstColumn="1" w:firstRow="1" w:lastColumn="0" w:lastRow="0" w:noHBand="0" w:noVBand="1" w:val="04A0"/>
      </w:tblPr>
      <w:tblGrid>
        <w:gridCol w:w="7848"/>
        <w:gridCol w:w="2232"/>
      </w:tblGrid>
      <w:tr>
        <w:tc>
          <w:tcPr>
            <w:tcW w:type="dxa" w:w="7848"/>
            <w:tcMar>
              <w:top w:w="0" w:type="dxa"/>
              <w:start w:w="0" w:type="dxa"/>
              <w:bottom w:w="0" w:type="dxa"/>
              <w:end w:w="0" w:type="dxa"/>
            </w:tcMar>
            <w:vAlign w:val="center"/>
          </w:tcPr>
          <w:p>
            <w:pPr>
              <w:spacing w:after="0"/>
            </w:pPr>
            <w:r>
              <w:rPr>
                <w:b/>
                <w:sz w:val="20"/>
              </w:rPr>
              <w:t>Falkirk Estate and Country Club</w:t>
            </w:r>
            <w:r>
              <w:rPr>
                <w:sz w:val="18"/>
              </w:rPr>
              <w:t xml:space="preserve">  |  Central Valley, NY</w:t>
            </w:r>
          </w:p>
        </w:tc>
        <w:tc>
          <w:tcPr>
            <w:tcW w:type="dxa" w:w="2232"/>
            <w:tcMar>
              <w:top w:w="0" w:type="dxa"/>
              <w:start w:w="0" w:type="dxa"/>
              <w:bottom w:w="0" w:type="dxa"/>
              <w:end w:w="0" w:type="dxa"/>
            </w:tcMar>
            <w:vAlign w:val="center"/>
          </w:tcPr>
          <w:p>
            <w:pPr>
              <w:spacing w:after="0"/>
              <w:jc w:val="right"/>
            </w:pPr>
            <w:r>
              <w:rPr>
                <w:b/>
                <w:sz w:val="18"/>
              </w:rPr>
              <w:t>Jan 2019–Dec 2019</w:t>
            </w:r>
          </w:p>
        </w:tc>
      </w:tr>
    </w:tbl>
    <w:p>
      <w:pPr>
        <w:spacing w:after="20"/>
      </w:pPr>
      <w:r>
        <w:rPr>
          <w:b/>
          <w:sz w:val="19"/>
        </w:rPr>
        <w:t>Golf Course Superintendent</w:t>
      </w:r>
      <w:r>
        <w:rPr>
          <w:i/>
          <w:sz w:val="18"/>
        </w:rPr>
        <w:t xml:space="preserve">  |  18-hole public country club and multi-million-dollar wedding venue</w:t>
      </w:r>
    </w:p>
    <w:p>
      <w:pPr>
        <w:spacing w:after="26"/>
        <w:ind w:left="216" w:hanging="158"/>
      </w:pPr>
      <w:r>
        <w:rPr>
          <w:b/>
        </w:rPr>
        <w:t xml:space="preserve">• </w:t>
      </w:r>
      <w:r>
        <w:t>Directed all aspects of golf course management to deliver playing conditions designed to meet and exceed player expectations.</w:t>
      </w:r>
    </w:p>
    <w:p>
      <w:pPr>
        <w:spacing w:after="26"/>
        <w:ind w:left="216" w:hanging="158"/>
      </w:pPr>
      <w:r>
        <w:rPr>
          <w:b/>
        </w:rPr>
        <w:t xml:space="preserve">• </w:t>
      </w:r>
      <w:r>
        <w:t>Oversaw plant and grounds management for the property's multi-million-dollar wedding venue.</w:t>
      </w:r>
    </w:p>
    <w:p>
      <w:pPr>
        <w:spacing w:after="26"/>
        <w:ind w:left="216" w:hanging="158"/>
      </w:pPr>
      <w:r>
        <w:rPr>
          <w:b/>
        </w:rPr>
        <w:t xml:space="preserve">• </w:t>
      </w:r>
      <w:r>
        <w:t>Initiated planning for a Toro irrigation system and designed drainage improvements throughout the property.</w:t>
      </w:r>
    </w:p>
    <w:p>
      <w:pPr>
        <w:spacing w:after="26"/>
        <w:ind w:left="216" w:hanging="158"/>
      </w:pPr>
      <w:r>
        <w:rPr>
          <w:b/>
        </w:rPr>
        <w:t xml:space="preserve">• </w:t>
      </w:r>
      <w:r>
        <w:t>Began restoration work intended to return the golf course toward its original design.</w:t>
      </w:r>
    </w:p>
    <w:tbl>
      <w:tblPr>
        <w:tblW w:type="auto" w:w="0"/>
        <w:jc w:val="center"/>
        <w:tblLayout w:type="fixed"/>
        <w:tblLook w:firstColumn="1" w:firstRow="1" w:lastColumn="0" w:lastRow="0" w:noHBand="0" w:noVBand="1" w:val="04A0"/>
      </w:tblPr>
      <w:tblGrid>
        <w:gridCol w:w="7848"/>
        <w:gridCol w:w="2232"/>
      </w:tblGrid>
      <w:tr>
        <w:tc>
          <w:tcPr>
            <w:tcW w:type="dxa" w:w="7848"/>
            <w:tcMar>
              <w:top w:w="0" w:type="dxa"/>
              <w:start w:w="0" w:type="dxa"/>
              <w:bottom w:w="0" w:type="dxa"/>
              <w:end w:w="0" w:type="dxa"/>
            </w:tcMar>
            <w:vAlign w:val="center"/>
          </w:tcPr>
          <w:p>
            <w:pPr>
              <w:spacing w:after="0"/>
            </w:pPr>
            <w:r>
              <w:rPr>
                <w:b/>
                <w:sz w:val="20"/>
              </w:rPr>
              <w:t>Southern Dutchess Country Club</w:t>
            </w:r>
            <w:r>
              <w:rPr>
                <w:sz w:val="18"/>
              </w:rPr>
              <w:t xml:space="preserve">  |  Beacon, NY</w:t>
            </w:r>
          </w:p>
        </w:tc>
        <w:tc>
          <w:tcPr>
            <w:tcW w:type="dxa" w:w="2232"/>
            <w:tcMar>
              <w:top w:w="0" w:type="dxa"/>
              <w:start w:w="0" w:type="dxa"/>
              <w:bottom w:w="0" w:type="dxa"/>
              <w:end w:w="0" w:type="dxa"/>
            </w:tcMar>
            <w:vAlign w:val="center"/>
          </w:tcPr>
          <w:p>
            <w:pPr>
              <w:spacing w:after="0"/>
              <w:jc w:val="right"/>
            </w:pPr>
            <w:r>
              <w:rPr>
                <w:b/>
                <w:sz w:val="18"/>
              </w:rPr>
              <w:t>Jan 2014–Jan 2019</w:t>
            </w:r>
          </w:p>
        </w:tc>
      </w:tr>
    </w:tbl>
    <w:p>
      <w:pPr>
        <w:spacing w:after="20"/>
      </w:pPr>
      <w:r>
        <w:rPr>
          <w:b/>
          <w:sz w:val="19"/>
        </w:rPr>
        <w:t>Golf Course Superintendent</w:t>
      </w:r>
      <w:r>
        <w:rPr>
          <w:i/>
          <w:sz w:val="18"/>
        </w:rPr>
        <w:t xml:space="preserve">  |  9-hole private country club</w:t>
      </w:r>
    </w:p>
    <w:p>
      <w:pPr>
        <w:spacing w:after="26"/>
        <w:ind w:left="216" w:hanging="158"/>
      </w:pPr>
      <w:r>
        <w:rPr>
          <w:b/>
        </w:rPr>
        <w:t xml:space="preserve">• </w:t>
      </w:r>
      <w:r>
        <w:t>Directed all aspects of course management and maintenance to provide playing conditions that met and exceeded member expectations.</w:t>
      </w:r>
    </w:p>
    <w:p>
      <w:pPr>
        <w:spacing w:after="26"/>
        <w:ind w:left="216" w:hanging="158"/>
      </w:pPr>
      <w:r>
        <w:rPr>
          <w:b/>
        </w:rPr>
        <w:t xml:space="preserve">• </w:t>
      </w:r>
      <w:r>
        <w:t>Delivered strong turf conditions through aggressive, modern cultural practices and detailed agronomic management.</w:t>
      </w:r>
    </w:p>
    <w:p>
      <w:pPr>
        <w:spacing w:after="26"/>
        <w:ind w:left="216" w:hanging="158"/>
      </w:pPr>
      <w:r>
        <w:rPr>
          <w:b/>
        </w:rPr>
        <w:t xml:space="preserve">• </w:t>
      </w:r>
      <w:r>
        <w:t>Developed nutrient and plant-protectant programs based on optimal plant environments and long-term turfgrass health.</w:t>
      </w:r>
    </w:p>
    <w:p>
      <w:pPr>
        <w:spacing w:after="26"/>
        <w:ind w:left="216" w:hanging="158"/>
      </w:pPr>
      <w:r>
        <w:rPr>
          <w:b/>
        </w:rPr>
        <w:t xml:space="preserve">• </w:t>
      </w:r>
      <w:r>
        <w:t>Built effective working relationships with the Board of Directors, Golf Professional and club members.</w:t>
      </w:r>
    </w:p>
    <w:p>
      <w:pPr>
        <w:spacing w:after="26"/>
        <w:ind w:left="216" w:hanging="158"/>
      </w:pPr>
      <w:r>
        <w:rPr>
          <w:b/>
        </w:rPr>
        <w:t xml:space="preserve">• </w:t>
      </w:r>
      <w:r>
        <w:t>Managed short- and long-term financial budgeting, purchasing and day-to-day operational spending.</w:t>
      </w:r>
    </w:p>
    <w:p>
      <w:r>
        <w:br w:type="page"/>
      </w:r>
    </w:p>
    <w:p>
      <w:pPr>
        <w:pStyle w:val="SectionHead"/>
        <w:keepNext/>
        <w:pBdr>
          <w:bottom w:val="single" w:sz="6" w:space="1" w:color="555555"/>
        </w:pBdr>
      </w:pPr>
      <w:r>
        <w:rPr>
          <w:color w:val="2D2D2D"/>
        </w:rPr>
        <w:t>PROFESSIONAL EXPERIENCE — CONTINUED</w:t>
      </w:r>
    </w:p>
    <w:tbl>
      <w:tblPr>
        <w:tblW w:type="auto" w:w="0"/>
        <w:jc w:val="center"/>
        <w:tblLayout w:type="fixed"/>
        <w:tblLook w:firstColumn="1" w:firstRow="1" w:lastColumn="0" w:lastRow="0" w:noHBand="0" w:noVBand="1" w:val="04A0"/>
      </w:tblPr>
      <w:tblGrid>
        <w:gridCol w:w="7848"/>
        <w:gridCol w:w="2232"/>
      </w:tblGrid>
      <w:tr>
        <w:tc>
          <w:tcPr>
            <w:tcW w:type="dxa" w:w="7848"/>
            <w:tcMar>
              <w:top w:w="0" w:type="dxa"/>
              <w:start w:w="0" w:type="dxa"/>
              <w:bottom w:w="0" w:type="dxa"/>
              <w:end w:w="0" w:type="dxa"/>
            </w:tcMar>
            <w:vAlign w:val="center"/>
          </w:tcPr>
          <w:p>
            <w:pPr>
              <w:spacing w:after="0"/>
            </w:pPr>
            <w:r>
              <w:rPr>
                <w:b/>
                <w:sz w:val="20"/>
              </w:rPr>
              <w:t>Edgewood Country Club</w:t>
            </w:r>
            <w:r>
              <w:rPr>
                <w:sz w:val="18"/>
              </w:rPr>
              <w:t xml:space="preserve">  |  River Vale, NJ</w:t>
            </w:r>
          </w:p>
        </w:tc>
        <w:tc>
          <w:tcPr>
            <w:tcW w:type="dxa" w:w="2232"/>
            <w:tcMar>
              <w:top w:w="0" w:type="dxa"/>
              <w:start w:w="0" w:type="dxa"/>
              <w:bottom w:w="0" w:type="dxa"/>
              <w:end w:w="0" w:type="dxa"/>
            </w:tcMar>
            <w:vAlign w:val="center"/>
          </w:tcPr>
          <w:p>
            <w:pPr>
              <w:spacing w:after="0"/>
              <w:jc w:val="right"/>
            </w:pPr>
            <w:r>
              <w:rPr>
                <w:b/>
                <w:sz w:val="18"/>
              </w:rPr>
              <w:t>Jan 2011–Jan 2014</w:t>
            </w:r>
          </w:p>
        </w:tc>
      </w:tr>
    </w:tbl>
    <w:p>
      <w:pPr>
        <w:spacing w:after="20"/>
      </w:pPr>
      <w:r>
        <w:rPr>
          <w:b/>
          <w:sz w:val="19"/>
        </w:rPr>
        <w:t>Assistant Golf Course Superintendent</w:t>
      </w:r>
      <w:r>
        <w:rPr>
          <w:i/>
          <w:sz w:val="18"/>
        </w:rPr>
        <w:t xml:space="preserve">  |  27-hole private country club | Bentgrass / Poa greens</w:t>
      </w:r>
    </w:p>
    <w:p>
      <w:pPr>
        <w:spacing w:after="26"/>
        <w:ind w:left="216" w:hanging="158"/>
      </w:pPr>
      <w:r>
        <w:rPr>
          <w:b/>
        </w:rPr>
        <w:t xml:space="preserve">• </w:t>
      </w:r>
      <w:r>
        <w:t>Developed daily work schedules, delegated assignments, trained and motivated employees, and coordinated irrigation scheduling based on field scouting and plant needs.</w:t>
      </w:r>
    </w:p>
    <w:p>
      <w:pPr>
        <w:spacing w:after="26"/>
        <w:ind w:left="216" w:hanging="158"/>
      </w:pPr>
      <w:r>
        <w:rPr>
          <w:b/>
        </w:rPr>
        <w:t xml:space="preserve">• </w:t>
      </w:r>
      <w:r>
        <w:t>Served as project manager for a complete 27-hole, tee-to-green HDPE irrigation system construction project.</w:t>
      </w:r>
    </w:p>
    <w:p>
      <w:pPr>
        <w:spacing w:after="26"/>
        <w:ind w:left="216" w:hanging="158"/>
      </w:pPr>
      <w:r>
        <w:rPr>
          <w:b/>
        </w:rPr>
        <w:t xml:space="preserve">• </w:t>
      </w:r>
      <w:r>
        <w:t>Performed and coordinated irrigation repairs, in-house tee construction and drainage construction.</w:t>
      </w:r>
    </w:p>
    <w:p>
      <w:pPr>
        <w:spacing w:after="26"/>
        <w:ind w:left="216" w:hanging="158"/>
      </w:pPr>
      <w:r>
        <w:rPr>
          <w:b/>
        </w:rPr>
        <w:t xml:space="preserve">• </w:t>
      </w:r>
      <w:r>
        <w:t>Conducted daily scouting for disease and pests and implemented modern cultural practices to enhance playability and course conditioning.</w:t>
      </w:r>
    </w:p>
    <w:p>
      <w:pPr>
        <w:spacing w:after="26"/>
        <w:ind w:left="216" w:hanging="158"/>
      </w:pPr>
      <w:r>
        <w:rPr>
          <w:b/>
        </w:rPr>
        <w:t xml:space="preserve">• </w:t>
      </w:r>
      <w:r>
        <w:t>Managed playing surfaces to maximize performance while reducing turf stress.</w:t>
      </w:r>
    </w:p>
    <w:p>
      <w:pPr>
        <w:pStyle w:val="SectionHead"/>
        <w:keepNext/>
        <w:pBdr>
          <w:bottom w:val="single" w:sz="6" w:space="1" w:color="555555"/>
        </w:pBdr>
      </w:pPr>
      <w:r>
        <w:rPr>
          <w:color w:val="2D2D2D"/>
        </w:rPr>
        <w:t>EARLY CAREER</w:t>
      </w:r>
    </w:p>
    <w:p>
      <w:pPr>
        <w:spacing w:after="20"/>
      </w:pPr>
      <w:r>
        <w:rPr>
          <w:b/>
        </w:rPr>
        <w:t>Golf Course Management Internships</w:t>
      </w:r>
      <w:r>
        <w:t xml:space="preserve">  |  Ballyowen Golf Club, Hamburg, NJ (2008)  •  National Golf Links of America, Southampton, NY (2007)  •  Shelter Harbor Golf Club, Westerly, RI (2006)</w:t>
      </w:r>
    </w:p>
    <w:p>
      <w:pPr>
        <w:pStyle w:val="SectionHead"/>
        <w:keepNext/>
        <w:pBdr>
          <w:bottom w:val="single" w:sz="6" w:space="1" w:color="555555"/>
        </w:pBdr>
      </w:pPr>
      <w:r>
        <w:rPr>
          <w:color w:val="2D2D2D"/>
        </w:rPr>
        <w:t>EDUCATION &amp; LICENSURE</w:t>
      </w:r>
    </w:p>
    <w:p>
      <w:pPr>
        <w:spacing w:after="20"/>
      </w:pPr>
      <w:r>
        <w:rPr>
          <w:b/>
        </w:rPr>
        <w:t>State University of New York at Delhi</w:t>
      </w:r>
      <w:r>
        <w:t xml:space="preserve">  |  Delhi, NY</w:t>
      </w:r>
    </w:p>
    <w:p>
      <w:pPr>
        <w:spacing w:after="20"/>
      </w:pPr>
      <w:r>
        <w:t>Bachelor of Business Administration, Golf Course Management / Superintendent  |  May 2008</w:t>
      </w:r>
    </w:p>
    <w:p>
      <w:pPr>
        <w:spacing w:after="20"/>
      </w:pPr>
      <w:r>
        <w:t>Academy of Finance member — specialized academic program focused on business and finance</w:t>
      </w:r>
    </w:p>
    <w:p>
      <w:pPr>
        <w:spacing w:after="40"/>
      </w:pPr>
      <w:r>
        <w:rPr>
          <w:b/>
        </w:rPr>
        <w:t>New York State Commercial Pesticide Applicator License</w:t>
      </w:r>
    </w:p>
    <w:p>
      <w:pPr>
        <w:pStyle w:val="SectionHead"/>
        <w:keepNext/>
        <w:pBdr>
          <w:bottom w:val="single" w:sz="6" w:space="1" w:color="555555"/>
        </w:pBdr>
      </w:pPr>
      <w:r>
        <w:rPr>
          <w:color w:val="2D2D2D"/>
        </w:rPr>
        <w:t>PROFESSIONAL AFFILIATIONS</w:t>
      </w:r>
    </w:p>
    <w:p>
      <w:pPr>
        <w:spacing w:after="40"/>
      </w:pPr>
      <w:r>
        <w:t>Golf Course Superintendents Association of America (GCSAA)  •  New York State Turfgrass Association (NYSTA)</w:t>
      </w:r>
    </w:p>
    <w:p>
      <w:pPr>
        <w:pStyle w:val="SectionHead"/>
        <w:keepNext/>
        <w:pBdr>
          <w:bottom w:val="single" w:sz="6" w:space="1" w:color="555555"/>
        </w:pBdr>
      </w:pPr>
      <w:r>
        <w:rPr>
          <w:color w:val="2D2D2D"/>
        </w:rPr>
        <w:t>SELECTED HONORS</w:t>
      </w:r>
    </w:p>
    <w:p>
      <w:pPr>
        <w:spacing w:after="20"/>
      </w:pPr>
      <w:r>
        <w:t>SUNY Delhi Academic Scholarship  •  NYSTA Scholarship, 2006  •  NYSTA Scholarship, 2007</w:t>
      </w:r>
    </w:p>
    <w:sectPr w:rsidR="00FC693F" w:rsidRPr="0006063C" w:rsidSect="00034616">
      <w:footerReference w:type="default" r:id="rId9"/>
      <w:pgSz w:w="12240" w:h="15840"/>
      <w:pgMar w:top="648" w:right="893" w:bottom="648" w:left="893"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spacing w:before="0"/>
      <w:jc w:val="center"/>
    </w:pPr>
    <w:r>
      <w:rPr>
        <w:sz w:val="16"/>
      </w:rPr>
      <w:t xml:space="preserve">Jesse Bulaga  •  </w:t>
      <w:fldChar w:fldCharType="begin"/>
      <w:instrText xml:space="preserve"> PAGE </w:instrText>
      <w:fldChar w:fldCharType="end"/>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40" w:line="240" w:lineRule="auto"/>
    </w:pPr>
    <w:rPr>
      <w:rFonts w:ascii="Aptos" w:hAnsi="Aptos"/>
      <w:sz w:val="18"/>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ResumeName">
    <w:name w:val="ResumeName"/>
    <w:pPr>
      <w:spacing w:before="0" w:after="40"/>
    </w:pPr>
    <w:rPr>
      <w:rFonts w:ascii="Aptos" w:hAnsi="Aptos"/>
      <w:b/>
      <w:sz w:val="40"/>
    </w:rPr>
  </w:style>
  <w:style w:type="paragraph" w:customStyle="1" w:styleId="ResumeTitle">
    <w:name w:val="ResumeTitle"/>
    <w:pPr>
      <w:spacing w:before="0" w:after="40"/>
    </w:pPr>
    <w:rPr>
      <w:rFonts w:ascii="Aptos" w:hAnsi="Aptos"/>
      <w:b/>
      <w:sz w:val="21"/>
    </w:rPr>
  </w:style>
  <w:style w:type="paragraph" w:customStyle="1" w:styleId="SectionHead">
    <w:name w:val="SectionHead"/>
    <w:pPr>
      <w:spacing w:before="80" w:after="40"/>
    </w:pPr>
    <w:rPr>
      <w:rFonts w:ascii="Aptos" w:hAnsi="Aptos"/>
      <w:b/>
      <w:caps/>
      <w:sz w:val="21"/>
    </w:rPr>
  </w:style>
  <w:style w:type="paragraph" w:customStyle="1" w:styleId="JobHead">
    <w:name w:val="JobHead"/>
    <w:pPr>
      <w:spacing w:before="0" w:after="40"/>
    </w:pPr>
    <w:rPr>
      <w:rFonts w:ascii="Aptos" w:hAnsi="Aptos"/>
      <w:b/>
      <w:sz w:val="20"/>
    </w:rPr>
  </w:style>
  <w:style w:type="paragraph" w:customStyle="1" w:styleId="JobMeta">
    <w:name w:val="JobMeta"/>
    <w:pPr>
      <w:spacing w:before="0" w:after="40"/>
    </w:pPr>
    <w:rPr>
      <w:rFonts w:ascii="Aptos" w:hAnsi="Aptos"/>
      <w:b w:val="0"/>
      <w:sz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